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СВЯТО-ТИХОНОВСКИЙ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9C3CFD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ПСТБИ</w:t>
            </w:r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70391F" w:rsidP="005E0DB1">
      <w:pPr>
        <w:spacing w:after="120" w:line="276" w:lineRule="auto"/>
        <w:jc w:val="center"/>
        <w:rPr>
          <w:b/>
        </w:rPr>
      </w:pPr>
      <w:r>
        <w:rPr>
          <w:b/>
        </w:rPr>
        <w:t>НРАВСТВЕННОЕ БОГОСЛОВИЕ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="005951C4">
        <w:rPr>
          <w:b/>
          <w:i/>
        </w:rPr>
        <w:t xml:space="preserve"> очно-заочная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</w:t>
      </w:r>
      <w:r w:rsidR="00A5289D">
        <w:t>20</w:t>
      </w:r>
      <w:r w:rsidRPr="005E0DB1">
        <w:t xml:space="preserve">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839F0" w:rsidRDefault="000223E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5301141" w:history="1">
            <w:r w:rsidR="007839F0" w:rsidRPr="0037347B">
              <w:rPr>
                <w:rStyle w:val="a9"/>
                <w:noProof/>
              </w:rPr>
              <w:t>Цели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5951C4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2" w:history="1">
            <w:r w:rsidR="007839F0" w:rsidRPr="0037347B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3" w:history="1">
            <w:r w:rsidR="007839F0" w:rsidRPr="0037347B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4" w:history="1">
            <w:r w:rsidR="007839F0" w:rsidRPr="0037347B">
              <w:rPr>
                <w:rStyle w:val="a9"/>
                <w:noProof/>
              </w:rPr>
              <w:t>Компетенция, формируемая дисциплиной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5" w:history="1">
            <w:r w:rsidR="007839F0" w:rsidRPr="0037347B">
              <w:rPr>
                <w:rStyle w:val="a9"/>
                <w:noProof/>
              </w:rPr>
              <w:t>Этапы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6" w:history="1">
            <w:r w:rsidR="007839F0" w:rsidRPr="0037347B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7" w:history="1">
            <w:r w:rsidR="007839F0" w:rsidRPr="0037347B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8" w:history="1">
            <w:r w:rsidR="007839F0" w:rsidRPr="0037347B">
              <w:rPr>
                <w:rStyle w:val="a9"/>
                <w:noProof/>
              </w:rPr>
              <w:t>Тематический план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9" w:history="1">
            <w:r w:rsidR="007839F0" w:rsidRPr="0037347B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0" w:history="1">
            <w:r w:rsidR="007839F0" w:rsidRPr="0037347B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7839F0" w:rsidRPr="0037347B">
              <w:rPr>
                <w:rStyle w:val="a9"/>
                <w:i/>
                <w:noProof/>
              </w:rPr>
              <w:t xml:space="preserve"> </w:t>
            </w:r>
            <w:r w:rsidR="007839F0" w:rsidRPr="0037347B">
              <w:rPr>
                <w:rStyle w:val="a9"/>
                <w:noProof/>
              </w:rPr>
              <w:t>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1" w:history="1">
            <w:r w:rsidR="007839F0" w:rsidRPr="0037347B">
              <w:rPr>
                <w:rStyle w:val="a9"/>
                <w:noProof/>
              </w:rPr>
              <w:t>Фонд оценочных средств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2" w:history="1">
            <w:r w:rsidR="007839F0" w:rsidRPr="0037347B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3" w:history="1">
            <w:r w:rsidR="007839F0" w:rsidRPr="0037347B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4" w:history="1">
            <w:r w:rsidR="007839F0" w:rsidRPr="0037347B">
              <w:rPr>
                <w:rStyle w:val="a9"/>
                <w:noProof/>
              </w:rPr>
              <w:t>Вопросы для семестровой аттестации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5" w:history="1">
            <w:r w:rsidR="007839F0" w:rsidRPr="0037347B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6" w:history="1">
            <w:r w:rsidR="007839F0" w:rsidRPr="0037347B">
              <w:rPr>
                <w:rStyle w:val="a9"/>
                <w:noProof/>
              </w:rPr>
              <w:t>Критерии оценивания устных опросов</w:t>
            </w:r>
            <w:r w:rsidR="007839F0">
              <w:rPr>
                <w:noProof/>
                <w:webHidden/>
              </w:rPr>
              <w:tab/>
            </w:r>
            <w:bookmarkStart w:id="72" w:name="_GoBack"/>
            <w:bookmarkEnd w:id="72"/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7" w:history="1">
            <w:r w:rsidR="007839F0" w:rsidRPr="0037347B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8" w:history="1">
            <w:r w:rsidR="007839F0" w:rsidRPr="0037347B">
              <w:rPr>
                <w:rStyle w:val="a9"/>
                <w:noProof/>
              </w:rPr>
              <w:t>Сре</w:t>
            </w:r>
            <w:r w:rsidR="007839F0" w:rsidRPr="0037347B">
              <w:rPr>
                <w:rStyle w:val="a9"/>
                <w:noProof/>
              </w:rPr>
              <w:t>д</w:t>
            </w:r>
            <w:r w:rsidR="007839F0" w:rsidRPr="0037347B">
              <w:rPr>
                <w:rStyle w:val="a9"/>
                <w:noProof/>
              </w:rPr>
              <w:t>ства оценивания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9" w:history="1">
            <w:r w:rsidR="007839F0" w:rsidRPr="0037347B">
              <w:rPr>
                <w:rStyle w:val="a9"/>
                <w:noProof/>
              </w:rPr>
              <w:t>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0" w:history="1">
            <w:r w:rsidR="007839F0" w:rsidRPr="0037347B">
              <w:rPr>
                <w:rStyle w:val="a9"/>
                <w:noProof/>
              </w:rPr>
              <w:t>Основная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1" w:history="1">
            <w:r w:rsidR="007839F0" w:rsidRPr="0037347B">
              <w:rPr>
                <w:rStyle w:val="a9"/>
                <w:noProof/>
              </w:rPr>
              <w:t>Дополнительная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2" w:history="1">
            <w:r w:rsidR="007839F0" w:rsidRPr="0037347B">
              <w:rPr>
                <w:rStyle w:val="a9"/>
                <w:noProof/>
              </w:rPr>
              <w:t>Интернет-ресурсы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3" w:history="1">
            <w:r w:rsidR="007839F0" w:rsidRPr="0037347B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5951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4" w:history="1">
            <w:r w:rsidR="007839F0" w:rsidRPr="0037347B">
              <w:rPr>
                <w:rStyle w:val="a9"/>
                <w:noProof/>
              </w:rPr>
              <w:t>Описание материально-технической базы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Pr="005E0DB1" w:rsidRDefault="007839F0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3" w:name="_Toc55301141"/>
      <w:r w:rsidRPr="005E0DB1">
        <w:lastRenderedPageBreak/>
        <w:t>Цели освоения дисциплины</w:t>
      </w:r>
      <w:bookmarkEnd w:id="73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5301142"/>
      <w:r w:rsidRPr="005E0DB1">
        <w:t>Место дисциплины в структуре образовательной программы</w:t>
      </w:r>
      <w:bookmarkEnd w:id="74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9C3CFD">
        <w:rPr>
          <w:b w:val="0"/>
        </w:rPr>
        <w:t>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5" w:name="_Toc55301143"/>
      <w:r w:rsidRPr="005E0DB1">
        <w:t>Перечень планируемых результатов обучения по дисциплине</w:t>
      </w:r>
      <w:bookmarkEnd w:id="75"/>
    </w:p>
    <w:p w:rsidR="00FB4756" w:rsidRPr="005E0DB1" w:rsidRDefault="00FB4756" w:rsidP="005E0DB1">
      <w:pPr>
        <w:pStyle w:val="2"/>
      </w:pPr>
      <w:bookmarkStart w:id="76" w:name="_Toc473892879"/>
      <w:bookmarkStart w:id="77" w:name="_Toc55301144"/>
      <w:r w:rsidRPr="005E0DB1">
        <w:t>Компетенция, формируемая дисциплиной</w:t>
      </w:r>
      <w:bookmarkEnd w:id="76"/>
      <w:bookmarkEnd w:id="77"/>
    </w:p>
    <w:p w:rsidR="00A5289D" w:rsidRDefault="00AA34E8" w:rsidP="005E0DB1">
      <w:pPr>
        <w:spacing w:after="120" w:line="276" w:lineRule="auto"/>
        <w:jc w:val="both"/>
      </w:pPr>
      <w:r w:rsidRPr="005E0DB1">
        <w:t>Дисциплина призвана сформировать у обучающихся</w:t>
      </w:r>
      <w:r w:rsidR="00A5289D">
        <w:t>:</w:t>
      </w:r>
      <w:r w:rsidRPr="005E0DB1">
        <w:t xml:space="preserve"> </w:t>
      </w:r>
    </w:p>
    <w:p w:rsidR="00A5289D" w:rsidRDefault="00AA34E8" w:rsidP="005E0DB1">
      <w:pPr>
        <w:spacing w:after="120" w:line="276" w:lineRule="auto"/>
        <w:jc w:val="both"/>
      </w:pPr>
      <w:r w:rsidRPr="005E0DB1">
        <w:t>общекультурную компетенцию ОК-</w:t>
      </w:r>
      <w:r w:rsidR="00A5289D">
        <w:t>5</w:t>
      </w:r>
      <w:r w:rsidRPr="005E0DB1">
        <w:t xml:space="preserve">: </w:t>
      </w:r>
      <w:r w:rsidR="00A5289D" w:rsidRPr="00EB61DE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A5289D">
        <w:t>;</w:t>
      </w:r>
    </w:p>
    <w:p w:rsidR="00AA34E8" w:rsidRPr="005E0DB1" w:rsidRDefault="00A5289D" w:rsidP="005E0DB1">
      <w:pPr>
        <w:spacing w:after="120" w:line="276" w:lineRule="auto"/>
        <w:jc w:val="both"/>
      </w:pPr>
      <w:r>
        <w:t xml:space="preserve">профессиональную компетенцию ПК-10: </w:t>
      </w:r>
      <w:r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</w:r>
    </w:p>
    <w:p w:rsidR="00FB4756" w:rsidRPr="005E0DB1" w:rsidRDefault="00FB4756" w:rsidP="005E0DB1">
      <w:pPr>
        <w:pStyle w:val="2"/>
      </w:pPr>
      <w:bookmarkStart w:id="78" w:name="_Toc473664500"/>
      <w:bookmarkStart w:id="79" w:name="_Toc473718078"/>
      <w:bookmarkStart w:id="80" w:name="_Toc473892880"/>
      <w:bookmarkStart w:id="81" w:name="_Toc55301145"/>
      <w:r w:rsidRPr="005E0DB1">
        <w:t>Этапы освоения компетенции</w:t>
      </w:r>
      <w:bookmarkEnd w:id="78"/>
      <w:bookmarkEnd w:id="79"/>
      <w:bookmarkEnd w:id="80"/>
      <w:bookmarkEnd w:id="81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5E0DB1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2" w:name="_Toc55301146"/>
      <w:r w:rsidRPr="005E0DB1">
        <w:t>Знания, умения и навыки, получаемые в результате освоения дисциплины</w:t>
      </w:r>
      <w:bookmarkEnd w:id="82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A5289D" w:rsidRPr="00EB61DE" w:rsidTr="00A52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  <w:r>
              <w:rPr>
                <w:b/>
                <w:bCs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основных характеристик письменной коммуникации и требования к качествам письменной речи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науки: реферат, научная рецензия, библиографическое описание, аннотация.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514E32" w:rsidRDefault="00514E32" w:rsidP="005E0DB1">
      <w:pPr>
        <w:pStyle w:val="10"/>
        <w:spacing w:before="0" w:after="12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2"/>
        <w:gridCol w:w="7139"/>
      </w:tblGrid>
      <w:tr w:rsidR="008F707F" w:rsidRPr="00F7790E" w:rsidTr="002A33BC"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ПК-10</w:t>
            </w: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</w:t>
            </w: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учений. 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8F707F" w:rsidRPr="008F707F" w:rsidRDefault="008F707F" w:rsidP="008F707F"/>
    <w:p w:rsidR="00DC2F09" w:rsidRDefault="00DC2F09" w:rsidP="005E0DB1">
      <w:pPr>
        <w:pStyle w:val="10"/>
        <w:spacing w:before="0" w:after="120"/>
      </w:pPr>
      <w:bookmarkStart w:id="83" w:name="_Toc55301147"/>
      <w:r w:rsidRPr="005E0DB1">
        <w:t>Объ</w:t>
      </w:r>
      <w:r w:rsidR="008F707F">
        <w:t>ё</w:t>
      </w:r>
      <w:r w:rsidRPr="005E0DB1">
        <w:t>м дисциплины</w:t>
      </w:r>
      <w:r w:rsidR="008F707F" w:rsidRPr="008F707F">
        <w:t xml:space="preserve"> </w:t>
      </w:r>
      <w:r w:rsidR="008F707F" w:rsidRPr="005E0DB1">
        <w:t>и трудо</w:t>
      </w:r>
      <w:r w:rsidR="008F707F">
        <w:t>ё</w:t>
      </w:r>
      <w:r w:rsidR="008F707F" w:rsidRPr="005E0DB1">
        <w:t>мкость по видам учебных занятий</w:t>
      </w:r>
      <w:bookmarkEnd w:id="83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5951C4" w:rsidRPr="00F11EAE" w:rsidTr="005951C4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5951C4" w:rsidRPr="00F11EAE" w:rsidTr="005951C4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C4" w:rsidRPr="00F11EAE" w:rsidRDefault="005951C4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C4" w:rsidRPr="00F11EAE" w:rsidRDefault="005951C4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C4" w:rsidRPr="00F11EAE" w:rsidRDefault="005951C4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C4" w:rsidRPr="00F11EAE" w:rsidRDefault="005951C4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5951C4" w:rsidRPr="00F11EAE" w:rsidTr="005951C4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1C4" w:rsidRPr="00F11EAE" w:rsidRDefault="005951C4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5951C4" w:rsidRPr="00F11EAE" w:rsidTr="005951C4">
        <w:trPr>
          <w:trHeight w:val="25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Б1.В.ДВ.08.02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C4" w:rsidRPr="00F11EAE" w:rsidRDefault="005951C4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222EE3" w:rsidRPr="005E0DB1" w:rsidRDefault="00222EE3" w:rsidP="005951C4">
      <w:pPr>
        <w:pStyle w:val="a3"/>
        <w:spacing w:after="120" w:line="276" w:lineRule="auto"/>
        <w:ind w:firstLine="0"/>
      </w:pPr>
    </w:p>
    <w:p w:rsidR="00DC2F09" w:rsidRDefault="008F707F" w:rsidP="005E0DB1">
      <w:pPr>
        <w:pStyle w:val="10"/>
        <w:spacing w:before="0" w:after="120"/>
      </w:pPr>
      <w:bookmarkStart w:id="84" w:name="_Toc55301148"/>
      <w:r>
        <w:t>Тематический план дисциплины</w:t>
      </w:r>
      <w:bookmarkEnd w:id="8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9154"/>
      </w:tblGrid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lastRenderedPageBreak/>
              <w:t>(продолжение)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lastRenderedPageBreak/>
              <w:t>4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5" w:name="_Toc55301149"/>
      <w:r w:rsidRPr="005E0DB1">
        <w:t>Содержание дисциплины, структурированное по темам</w:t>
      </w:r>
      <w:bookmarkEnd w:id="85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Справедливость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Божию.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ближнему.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ко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увлеченность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ближнего.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>, отчаяние. Тщеславие и его разновидности. 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легкая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стыд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более,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 Св.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направление и механизм дьявольской работы довольно просты?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"обжорство".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ближнему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от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средств для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Покажите, что Евангельский нравственный закон, по сравнению с ветхозаветным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Какие сущностные признаки закона остаются общими для Ветхого, и для Нового Заветов?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Божий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Заповедь любви в Ветхом завете. Любовь праведников и пророков. Христос. Заповедь любви к Богу. Молитва. Евхаристия. Церковь. Любовь к ближнему.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</w:r>
      <w:proofErr w:type="gramStart"/>
      <w:r w:rsidRPr="005E0DB1">
        <w:t>В</w:t>
      </w:r>
      <w:proofErr w:type="gramEnd"/>
      <w:r w:rsidRPr="005E0DB1">
        <w:t xml:space="preserve"> чём заключается внутренняя взаимосвязь любви к Богу и любви к ближнему?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вера и упование могут быть оценены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три основных проявления покаяния?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связаны переживание благости Божией и нравственное устроение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нравственно-духовные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правда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5E0DB1" w:rsidP="005E0DB1">
      <w:pPr>
        <w:spacing w:after="120" w:line="276" w:lineRule="auto"/>
        <w:jc w:val="both"/>
      </w:pPr>
      <w:r w:rsidRPr="005E0DB1">
        <w:lastRenderedPageBreak/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мудрость.Мученичество</w:t>
      </w:r>
      <w:proofErr w:type="spellEnd"/>
      <w:r w:rsidRPr="005E0DB1">
        <w:t xml:space="preserve"> — живое свидетельство 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в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6" w:name="_Toc467596881"/>
      <w:bookmarkStart w:id="87" w:name="_Toc467599965"/>
      <w:bookmarkStart w:id="88" w:name="_Toc468272476"/>
      <w:bookmarkStart w:id="89" w:name="_Toc468280920"/>
      <w:bookmarkStart w:id="90" w:name="_Toc473892885"/>
      <w:bookmarkStart w:id="91" w:name="_Toc55301150"/>
      <w:bookmarkStart w:id="92" w:name="_Toc467596884"/>
      <w:bookmarkStart w:id="93" w:name="_Toc467599968"/>
      <w:bookmarkStart w:id="94" w:name="_Toc468272477"/>
      <w:bookmarkStart w:id="95" w:name="_Toc468274078"/>
      <w:bookmarkStart w:id="96" w:name="_Toc468278275"/>
      <w:r w:rsidRPr="005E0DB1">
        <w:t>Учебно-методическое обеспечение самостоятельной работы обучающихся</w:t>
      </w:r>
      <w:r w:rsidRPr="005E0DB1">
        <w:rPr>
          <w:i/>
        </w:rPr>
        <w:t xml:space="preserve"> </w:t>
      </w:r>
      <w:r w:rsidRPr="005E0DB1">
        <w:t>по дисциплине</w:t>
      </w:r>
      <w:bookmarkEnd w:id="86"/>
      <w:bookmarkEnd w:id="87"/>
      <w:bookmarkEnd w:id="88"/>
      <w:bookmarkEnd w:id="89"/>
      <w:bookmarkEnd w:id="90"/>
      <w:bookmarkEnd w:id="91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>Самостоятельная работа обучающихся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7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8" w:name="_Toc473892886"/>
      <w:bookmarkStart w:id="99" w:name="_Toc55301151"/>
      <w:r w:rsidRPr="005E0DB1">
        <w:t>Фонд оценочных средств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100" w:name="_Toc473664508"/>
      <w:bookmarkStart w:id="101" w:name="_Toc473718086"/>
      <w:bookmarkStart w:id="102" w:name="_Toc473892887"/>
      <w:bookmarkStart w:id="103" w:name="_Toc55301152"/>
      <w:r w:rsidRPr="005E0DB1"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4" w:name="_Toc473664509"/>
      <w:bookmarkStart w:id="105" w:name="_Toc473718087"/>
      <w:bookmarkStart w:id="106" w:name="_Toc473892888"/>
      <w:bookmarkStart w:id="107" w:name="_Toc55301153"/>
      <w:r w:rsidRPr="005E0DB1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8" w:name="_Toc55301154"/>
      <w:r w:rsidRPr="005E0DB1">
        <w:lastRenderedPageBreak/>
        <w:t>Вопросы для семестровой аттестации</w:t>
      </w:r>
      <w:bookmarkEnd w:id="108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</w:t>
      </w:r>
      <w:proofErr w:type="gramStart"/>
      <w:r w:rsidRPr="005E0DB1">
        <w:t>).Любовь</w:t>
      </w:r>
      <w:proofErr w:type="gramEnd"/>
      <w:r w:rsidRPr="005E0DB1">
        <w:t xml:space="preserve">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9" w:name="_Toc473664511"/>
      <w:bookmarkStart w:id="110" w:name="_Toc473718089"/>
      <w:bookmarkStart w:id="111" w:name="_Toc473892890"/>
      <w:bookmarkStart w:id="112" w:name="_Toc55301155"/>
      <w:r w:rsidRPr="005E0DB1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3892891"/>
      <w:bookmarkStart w:id="116" w:name="_Toc55301156"/>
      <w:r w:rsidRPr="005E0DB1">
        <w:t>Критерии оценивания устных опросов</w:t>
      </w:r>
      <w:bookmarkEnd w:id="113"/>
      <w:bookmarkEnd w:id="114"/>
      <w:bookmarkEnd w:id="115"/>
      <w:bookmarkEnd w:id="116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7" w:name="_Toc473664513"/>
      <w:bookmarkStart w:id="118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9" w:name="_Toc473892892"/>
      <w:bookmarkStart w:id="120" w:name="_Toc55301157"/>
      <w:r w:rsidRPr="005E0DB1">
        <w:t>Описание шкал оценивания основного этапа освоения компетенции</w:t>
      </w:r>
      <w:bookmarkEnd w:id="117"/>
      <w:bookmarkEnd w:id="118"/>
      <w:bookmarkEnd w:id="119"/>
      <w:bookmarkEnd w:id="120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3234F" w:rsidRPr="005E0DB1" w:rsidRDefault="0053234F" w:rsidP="005E0DB1">
      <w:pPr>
        <w:pStyle w:val="2"/>
      </w:pPr>
      <w:bookmarkStart w:id="121" w:name="_Toc473664514"/>
      <w:bookmarkStart w:id="122" w:name="_Toc473718092"/>
      <w:bookmarkStart w:id="123" w:name="_Toc473892893"/>
      <w:bookmarkStart w:id="124" w:name="_Toc55301158"/>
      <w:r w:rsidRPr="005E0DB1">
        <w:t>Средства оценивания</w:t>
      </w:r>
      <w:bookmarkEnd w:id="121"/>
      <w:bookmarkEnd w:id="122"/>
      <w:bookmarkEnd w:id="123"/>
      <w:bookmarkEnd w:id="124"/>
      <w:r w:rsidRPr="005E0DB1">
        <w:t xml:space="preserve">  </w:t>
      </w:r>
    </w:p>
    <w:p w:rsidR="00546D1B" w:rsidRPr="005E0DB1" w:rsidRDefault="00546D1B" w:rsidP="005E0DB1">
      <w:pPr>
        <w:spacing w:after="120" w:line="276" w:lineRule="auto"/>
        <w:jc w:val="both"/>
      </w:pPr>
      <w:r w:rsidRPr="005951C4">
        <w:rPr>
          <w:i/>
          <w:iCs/>
        </w:rPr>
        <w:t>В случае</w:t>
      </w:r>
      <w:r w:rsidRPr="005E0DB1">
        <w:t xml:space="preserve">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E0DB1">
        <w:t>балльно</w:t>
      </w:r>
      <w:proofErr w:type="spellEnd"/>
      <w:r w:rsidRPr="005E0DB1">
        <w:t>-рейтинговой системе оценивается 34 баллами.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</w:t>
      </w:r>
      <w:r>
        <w:rPr>
          <w:rFonts w:eastAsia="Calibri"/>
          <w:bCs/>
          <w:lang w:eastAsia="en-US"/>
        </w:rPr>
        <w:t xml:space="preserve">позиция оценивается баллами от </w:t>
      </w:r>
      <w:r w:rsidRPr="00982D72">
        <w:rPr>
          <w:rFonts w:eastAsia="Calibri"/>
          <w:bCs/>
          <w:lang w:eastAsia="en-US"/>
        </w:rPr>
        <w:t>52 до 60.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43 до 51.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34 до 42.</w:t>
      </w:r>
    </w:p>
    <w:p w:rsidR="005951C4" w:rsidRPr="00982D72" w:rsidRDefault="005951C4" w:rsidP="005951C4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5" w:name="_Toc55301159"/>
      <w:r w:rsidRPr="005E0DB1">
        <w:t>Литература</w:t>
      </w:r>
      <w:bookmarkEnd w:id="125"/>
    </w:p>
    <w:p w:rsidR="00DC2F09" w:rsidRPr="005E0DB1" w:rsidRDefault="00DC2F09" w:rsidP="005E0DB1">
      <w:pPr>
        <w:pStyle w:val="2"/>
      </w:pPr>
      <w:bookmarkStart w:id="126" w:name="_Toc55301160"/>
      <w:r w:rsidRPr="005E0DB1">
        <w:t>Основная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СТСЛ, 1994.</w:t>
      </w:r>
    </w:p>
    <w:p w:rsidR="007839F0" w:rsidRPr="005E0DB1" w:rsidRDefault="007839F0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>
        <w:rPr>
          <w:b w:val="0"/>
        </w:rPr>
        <w:t xml:space="preserve">4. </w:t>
      </w:r>
      <w:r w:rsidRPr="007839F0">
        <w:rPr>
          <w:b w:val="0"/>
          <w:i/>
        </w:rPr>
        <w:t xml:space="preserve">Малков П.Ю. Никулина Е.Н. Егоров Геннадий, </w:t>
      </w:r>
      <w:proofErr w:type="spellStart"/>
      <w:r w:rsidRPr="007839F0">
        <w:rPr>
          <w:b w:val="0"/>
          <w:i/>
        </w:rPr>
        <w:t>прот</w:t>
      </w:r>
      <w:proofErr w:type="spellEnd"/>
      <w:r w:rsidRPr="007839F0">
        <w:rPr>
          <w:b w:val="0"/>
          <w:i/>
        </w:rPr>
        <w:t>.</w:t>
      </w:r>
      <w:r>
        <w:rPr>
          <w:b w:val="0"/>
        </w:rPr>
        <w:t xml:space="preserve"> </w:t>
      </w:r>
      <w:r w:rsidRPr="007839F0">
        <w:rPr>
          <w:b w:val="0"/>
        </w:rPr>
        <w:t>Святоотеческая письменность. Агиология. Нравственное богословие</w:t>
      </w:r>
      <w:r>
        <w:rPr>
          <w:b w:val="0"/>
        </w:rPr>
        <w:t>. М.: ПСТГУ, 2020.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7" w:name="_Toc55301161"/>
      <w:r w:rsidRPr="005E0DB1">
        <w:t>Дополнительная литература</w:t>
      </w:r>
      <w:bookmarkEnd w:id="127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 xml:space="preserve">. Жизнь, болезнь, смерть. </w:t>
      </w:r>
      <w:proofErr w:type="gramStart"/>
      <w:r w:rsidRPr="005E0DB1">
        <w:rPr>
          <w:b w:val="0"/>
        </w:rPr>
        <w:t>Клин.:</w:t>
      </w:r>
      <w:proofErr w:type="gramEnd"/>
      <w:r w:rsidRPr="005E0DB1">
        <w:rPr>
          <w:b w:val="0"/>
        </w:rPr>
        <w:t xml:space="preserve"> 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 xml:space="preserve">. Может ли еще молиться современный человек? </w:t>
      </w:r>
      <w:proofErr w:type="gramStart"/>
      <w:r w:rsidRPr="005E0DB1">
        <w:rPr>
          <w:b w:val="0"/>
        </w:rPr>
        <w:t>Клин.:</w:t>
      </w:r>
      <w:proofErr w:type="gramEnd"/>
      <w:r w:rsidRPr="005E0DB1">
        <w:rPr>
          <w:b w:val="0"/>
        </w:rPr>
        <w:t xml:space="preserve"> 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 xml:space="preserve">Психологические данные в пользу свободы воли и нравственной ответственности.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Карлейль</w:t>
      </w:r>
      <w:proofErr w:type="spellEnd"/>
      <w:r w:rsidRPr="005E0DB1">
        <w:rPr>
          <w:b w:val="0"/>
          <w:i/>
        </w:rPr>
        <w:t xml:space="preserve">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в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 xml:space="preserve">Молитва – учение и делание: Сборник.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Паисий</w:t>
      </w:r>
      <w:proofErr w:type="spellEnd"/>
      <w:r w:rsidRPr="005E0DB1">
        <w:rPr>
          <w:b w:val="0"/>
          <w:i/>
        </w:rPr>
        <w:t xml:space="preserve">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евангелиста Иоанна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в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Трех Святителей на </w:t>
      </w:r>
      <w:proofErr w:type="spellStart"/>
      <w:r w:rsidRPr="005E0DB1">
        <w:rPr>
          <w:b w:val="0"/>
        </w:rPr>
        <w:t>Кулишках</w:t>
      </w:r>
      <w:proofErr w:type="spellEnd"/>
      <w:r w:rsidRPr="005E0DB1">
        <w:rPr>
          <w:b w:val="0"/>
        </w:rPr>
        <w:t>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душеспасительные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человеческой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В философия.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8" w:name="_Toc55301162"/>
      <w:r w:rsidRPr="005E0DB1">
        <w:t>Интернет-ресурсы</w:t>
      </w:r>
      <w:bookmarkEnd w:id="128"/>
    </w:p>
    <w:p w:rsidR="00514E32" w:rsidRPr="005E0DB1" w:rsidRDefault="005951C4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5951C4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5301163"/>
      <w:r w:rsidRPr="005E0DB1">
        <w:t>Методические указания для обучающихся по освоению дисциплины</w:t>
      </w:r>
      <w:bookmarkEnd w:id="129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30" w:name="_Toc55301164"/>
      <w:r w:rsidRPr="005E0DB1">
        <w:t>Описание материально-технической базы</w:t>
      </w:r>
      <w:bookmarkEnd w:id="130"/>
    </w:p>
    <w:p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lastRenderedPageBreak/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:rsidR="007839F0" w:rsidRPr="005E0DB1" w:rsidRDefault="007839F0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</w:t>
      </w:r>
      <w:r w:rsidR="00CE174C">
        <w:rPr>
          <w:i/>
        </w:rPr>
        <w:t>о сетевой форме реализации ООП.</w:t>
      </w:r>
    </w:p>
    <w:p w:rsidR="007839F0" w:rsidRPr="00CE174C" w:rsidRDefault="007839F0" w:rsidP="00CE174C">
      <w:pPr>
        <w:spacing w:after="120" w:line="276" w:lineRule="auto"/>
        <w:jc w:val="both"/>
        <w:rPr>
          <w:i/>
        </w:rPr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 xml:space="preserve">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t>Рецензент: Медведева А.А.</w:t>
      </w:r>
    </w:p>
    <w:p w:rsidR="007839F0" w:rsidRPr="005E0DB1" w:rsidRDefault="007839F0" w:rsidP="00CE174C">
      <w:pPr>
        <w:widowControl w:val="0"/>
        <w:spacing w:after="120" w:line="276" w:lineRule="auto"/>
        <w:jc w:val="both"/>
        <w:rPr>
          <w:i/>
        </w:rPr>
      </w:pPr>
    </w:p>
    <w:p w:rsidR="007839F0" w:rsidRPr="008B5CBE" w:rsidRDefault="007839F0" w:rsidP="007839F0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5E0DB1" w:rsidRDefault="00CA6DA8" w:rsidP="007839F0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9D" w:rsidRDefault="00A5289D" w:rsidP="00AA34E8">
      <w:r>
        <w:separator/>
      </w:r>
    </w:p>
  </w:endnote>
  <w:endnote w:type="continuationSeparator" w:id="0">
    <w:p w:rsidR="00A5289D" w:rsidRDefault="00A5289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66313"/>
      <w:docPartObj>
        <w:docPartGallery w:val="Page Numbers (Bottom of Page)"/>
        <w:docPartUnique/>
      </w:docPartObj>
    </w:sdtPr>
    <w:sdtEndPr/>
    <w:sdtContent>
      <w:p w:rsidR="00A5289D" w:rsidRDefault="00A52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5289D" w:rsidRDefault="00A52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9D" w:rsidRDefault="00A5289D" w:rsidP="00AA34E8">
      <w:r>
        <w:separator/>
      </w:r>
    </w:p>
  </w:footnote>
  <w:footnote w:type="continuationSeparator" w:id="0">
    <w:p w:rsidR="00A5289D" w:rsidRDefault="00A5289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3425DA"/>
    <w:rsid w:val="004F4780"/>
    <w:rsid w:val="00514E32"/>
    <w:rsid w:val="0053234F"/>
    <w:rsid w:val="00546D1B"/>
    <w:rsid w:val="0055444D"/>
    <w:rsid w:val="005951C4"/>
    <w:rsid w:val="005956EC"/>
    <w:rsid w:val="005B310D"/>
    <w:rsid w:val="005C0E52"/>
    <w:rsid w:val="005E0DB1"/>
    <w:rsid w:val="0064690D"/>
    <w:rsid w:val="006712D3"/>
    <w:rsid w:val="0070391F"/>
    <w:rsid w:val="007839F0"/>
    <w:rsid w:val="007C6627"/>
    <w:rsid w:val="008F707F"/>
    <w:rsid w:val="00971266"/>
    <w:rsid w:val="009C3CFD"/>
    <w:rsid w:val="00A52866"/>
    <w:rsid w:val="00A5289D"/>
    <w:rsid w:val="00A7013C"/>
    <w:rsid w:val="00AA34E8"/>
    <w:rsid w:val="00B25F58"/>
    <w:rsid w:val="00CA6DA8"/>
    <w:rsid w:val="00CE174C"/>
    <w:rsid w:val="00D10310"/>
    <w:rsid w:val="00D12147"/>
    <w:rsid w:val="00D240BA"/>
    <w:rsid w:val="00D65171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541F2-5F97-438F-88B2-A26990C6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  <w:style w:type="paragraph" w:customStyle="1" w:styleId="ae">
    <w:name w:val="Содержимое таблицы"/>
    <w:basedOn w:val="a"/>
    <w:rsid w:val="00A5289D"/>
    <w:pPr>
      <w:suppressLineNumbers/>
      <w:spacing w:after="1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go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AE1C-63D7-41CF-9E3C-2D409D7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14</cp:revision>
  <dcterms:created xsi:type="dcterms:W3CDTF">2017-07-26T08:24:00Z</dcterms:created>
  <dcterms:modified xsi:type="dcterms:W3CDTF">2020-11-07T18:49:00Z</dcterms:modified>
</cp:coreProperties>
</file>