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1501DD" w:rsidP="009553F9">
      <w:pPr>
        <w:jc w:val="center"/>
        <w:rPr>
          <w:b/>
          <w:i/>
          <w:spacing w:val="-2"/>
        </w:rPr>
      </w:pPr>
      <w:r w:rsidRPr="009553F9">
        <w:rPr>
          <w:b/>
        </w:rPr>
        <w:t>НАУЧНАЯ АПОЛОГЕТИКА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20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Pr="00805619">
              <w:rPr>
                <w:rStyle w:val="ac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Pr="00805619">
              <w:rPr>
                <w:rStyle w:val="ac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Pr="00805619">
              <w:rPr>
                <w:rStyle w:val="ac"/>
                <w:i/>
                <w:noProof/>
              </w:rPr>
              <w:t xml:space="preserve"> </w:t>
            </w:r>
            <w:r w:rsidRPr="00805619">
              <w:rPr>
                <w:rStyle w:val="ac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Pr="00805619">
              <w:rPr>
                <w:rStyle w:val="ac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Pr="00805619">
              <w:rPr>
                <w:rStyle w:val="ac"/>
                <w:noProof/>
              </w:rPr>
              <w:t>Средства оценивания</w:t>
            </w:r>
            <w:bookmarkStart w:id="73" w:name="_GoBack"/>
            <w:bookmarkEnd w:id="73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Pr="00805619">
              <w:rPr>
                <w:rStyle w:val="ac"/>
                <w:noProof/>
              </w:rPr>
              <w:t>Литература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Pr="00805619">
              <w:rPr>
                <w:rStyle w:val="ac"/>
                <w:noProof/>
              </w:rPr>
              <w:t>Основная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Pr="00805619">
              <w:rPr>
                <w:rStyle w:val="ac"/>
                <w:noProof/>
              </w:rPr>
              <w:t>Дополнительная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Pr="00805619">
              <w:rPr>
                <w:rStyle w:val="ac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F6C" w:rsidRDefault="00183F6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_Toc55304631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Default="00843FFD" w:rsidP="009553F9"/>
    <w:p w:rsidR="00183F6C" w:rsidRDefault="00183F6C" w:rsidP="009553F9"/>
    <w:p w:rsidR="00183F6C" w:rsidRPr="009553F9" w:rsidRDefault="00183F6C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4" w:name="_Toc55304611"/>
      <w:r w:rsidRPr="009553F9">
        <w:lastRenderedPageBreak/>
        <w:t>Цели освоения дисциплины</w:t>
      </w:r>
      <w:bookmarkEnd w:id="72"/>
      <w:bookmarkEnd w:id="74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55304612"/>
      <w:r w:rsidRPr="009553F9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55304613"/>
      <w:r w:rsidRPr="009553F9">
        <w:t xml:space="preserve">Перечень планируемых результатов </w:t>
      </w:r>
      <w:proofErr w:type="gramStart"/>
      <w:r w:rsidRPr="009553F9"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537D9D" w:rsidRPr="009553F9" w:rsidRDefault="00537D9D" w:rsidP="009553F9">
      <w:pPr>
        <w:pStyle w:val="3"/>
        <w:spacing w:line="276" w:lineRule="auto"/>
      </w:pPr>
      <w:bookmarkStart w:id="88" w:name="_Toc55304614"/>
      <w:r w:rsidRPr="009553F9">
        <w:t>Компетенция, формируемая дисциплиной</w:t>
      </w:r>
      <w:bookmarkEnd w:id="88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9" w:name="_Toc473664500"/>
      <w:bookmarkStart w:id="90" w:name="_Toc473718078"/>
      <w:bookmarkStart w:id="91" w:name="_Toc473892880"/>
      <w:bookmarkStart w:id="92" w:name="_Toc474840589"/>
      <w:bookmarkStart w:id="93" w:name="_Toc475970636"/>
      <w:bookmarkStart w:id="94" w:name="_Toc477858777"/>
      <w:bookmarkStart w:id="95" w:name="_Toc55304615"/>
      <w:r w:rsidRPr="009553F9">
        <w:t>Этапы освоения компетенции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553F9">
        <w:t>Обучающийся</w:t>
      </w:r>
      <w:proofErr w:type="gramEnd"/>
      <w:r w:rsidRPr="009553F9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 xml:space="preserve">Основной этап. Освоение этого этапа проходит к концу семестрового обучения. </w:t>
      </w:r>
      <w:proofErr w:type="gramStart"/>
      <w:r w:rsidRPr="009553F9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553F9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</w:t>
      </w:r>
      <w:proofErr w:type="gramStart"/>
      <w:r w:rsidRPr="009553F9">
        <w:t>обучающимся</w:t>
      </w:r>
      <w:proofErr w:type="gramEnd"/>
      <w:r w:rsidRPr="009553F9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6" w:name="_Toc472951667"/>
      <w:bookmarkStart w:id="97" w:name="_Toc474840590"/>
      <w:bookmarkStart w:id="98" w:name="_Toc475970637"/>
      <w:bookmarkStart w:id="99" w:name="_Toc477858778"/>
      <w:bookmarkStart w:id="100" w:name="_Toc55304616"/>
      <w:r w:rsidRPr="009553F9">
        <w:t>Знания, умения и навыки, получаемые в результате освоения дисциплины</w:t>
      </w:r>
      <w:bookmarkEnd w:id="96"/>
      <w:bookmarkEnd w:id="97"/>
      <w:bookmarkEnd w:id="98"/>
      <w:bookmarkEnd w:id="99"/>
      <w:bookmarkEnd w:id="100"/>
    </w:p>
    <w:p w:rsidR="001501DD" w:rsidRPr="009553F9" w:rsidRDefault="001501DD" w:rsidP="009553F9">
      <w:pPr>
        <w:jc w:val="both"/>
      </w:pPr>
      <w:r w:rsidRPr="009553F9">
        <w:t xml:space="preserve">В результате освоения дисциплины </w:t>
      </w:r>
      <w:proofErr w:type="gramStart"/>
      <w:r w:rsidRPr="009553F9">
        <w:t>обучающийся</w:t>
      </w:r>
      <w:proofErr w:type="gramEnd"/>
      <w:r w:rsidRPr="009553F9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1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1"/>
    </w:tbl>
    <w:p w:rsidR="0034050F" w:rsidRDefault="0034050F" w:rsidP="009553F9">
      <w:pPr>
        <w:ind w:firstLine="709"/>
        <w:jc w:val="both"/>
      </w:pPr>
    </w:p>
    <w:p w:rsidR="000D5187" w:rsidRPr="009553F9" w:rsidRDefault="000D5187" w:rsidP="009553F9">
      <w:pPr>
        <w:ind w:firstLine="709"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02" w:name="_Toc467596869"/>
      <w:bookmarkStart w:id="103" w:name="_Toc467599947"/>
      <w:bookmarkStart w:id="104" w:name="_Toc468272473"/>
      <w:bookmarkStart w:id="105" w:name="_Toc468274074"/>
      <w:bookmarkStart w:id="106" w:name="_Toc468278250"/>
      <w:bookmarkStart w:id="107" w:name="_Toc468280917"/>
      <w:bookmarkStart w:id="108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102"/>
      <w:bookmarkEnd w:id="103"/>
      <w:bookmarkEnd w:id="104"/>
      <w:bookmarkEnd w:id="105"/>
      <w:bookmarkEnd w:id="106"/>
      <w:bookmarkEnd w:id="107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108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9"/>
        <w:gridCol w:w="516"/>
      </w:tblGrid>
      <w:tr w:rsidR="000D5187" w:rsidRPr="008B5CBE" w:rsidTr="000D5187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D5187" w:rsidRPr="008B5CBE" w:rsidTr="000D5187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D5187" w:rsidRPr="008B5CBE" w:rsidTr="000D5187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0D5187" w:rsidRPr="008B5CBE" w:rsidTr="000D5187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  <w:r w:rsidRPr="008B5CBE">
              <w:t>Б</w:t>
            </w:r>
            <w:proofErr w:type="gramStart"/>
            <w:r w:rsidRPr="008B5CBE">
              <w:t>1</w:t>
            </w:r>
            <w:proofErr w:type="gramEnd"/>
            <w:r w:rsidRPr="008B5CBE">
              <w:t>.В.ДВ.09.01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2.5</w:t>
            </w:r>
          </w:p>
        </w:tc>
      </w:tr>
    </w:tbl>
    <w:p w:rsidR="00F435B2" w:rsidRPr="009553F9" w:rsidRDefault="00F435B2" w:rsidP="009553F9">
      <w:pPr>
        <w:jc w:val="both"/>
      </w:pPr>
    </w:p>
    <w:p w:rsidR="00F435B2" w:rsidRDefault="00F435B2" w:rsidP="00786001">
      <w:pPr>
        <w:pStyle w:val="10"/>
        <w:spacing w:before="0" w:after="120"/>
      </w:pPr>
      <w:bookmarkStart w:id="109" w:name="_Toc468272475"/>
      <w:bookmarkStart w:id="110" w:name="_Toc468274076"/>
      <w:bookmarkStart w:id="111" w:name="_Toc468278259"/>
      <w:bookmarkStart w:id="112" w:name="_Toc468280919"/>
      <w:bookmarkStart w:id="113" w:name="_Toc55304618"/>
      <w:r w:rsidRPr="009553F9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38"/>
      </w:tblGrid>
      <w:tr w:rsidR="00786001" w:rsidRPr="009553F9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</w:t>
            </w:r>
            <w:proofErr w:type="spellStart"/>
            <w:r w:rsidRPr="009553F9">
              <w:t>II-III</w:t>
            </w:r>
            <w:proofErr w:type="spellEnd"/>
            <w:r w:rsidRPr="009553F9">
              <w:t xml:space="preserve">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 xml:space="preserve">, св. </w:t>
            </w:r>
            <w:proofErr w:type="spellStart"/>
            <w:r w:rsidRPr="009553F9">
              <w:t>Ириней</w:t>
            </w:r>
            <w:proofErr w:type="spellEnd"/>
            <w:r w:rsidRPr="009553F9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>. Максима Исповедник</w:t>
            </w:r>
            <w:proofErr w:type="gramStart"/>
            <w:r w:rsidRPr="009553F9">
              <w:t>а и Иоа</w:t>
            </w:r>
            <w:proofErr w:type="gramEnd"/>
            <w:r w:rsidRPr="009553F9">
              <w:t xml:space="preserve">нна </w:t>
            </w:r>
            <w:proofErr w:type="spellStart"/>
            <w:r w:rsidRPr="009553F9">
              <w:t>Дамаскина</w:t>
            </w:r>
            <w:proofErr w:type="spellEnd"/>
            <w:r w:rsidRPr="009553F9">
              <w:t xml:space="preserve">. Основные богословско-философские проблемы патристики, отличия западной богословской традиции </w:t>
            </w:r>
            <w:proofErr w:type="gramStart"/>
            <w:r w:rsidRPr="009553F9">
              <w:t>от</w:t>
            </w:r>
            <w:proofErr w:type="gramEnd"/>
            <w:r w:rsidRPr="009553F9">
              <w:t xml:space="preserve"> восточной. Западная схоластика и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особенности. Апологетические работы Фомы Аквинского.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</w:t>
            </w:r>
            <w:proofErr w:type="spellStart"/>
            <w:r w:rsidRPr="009553F9">
              <w:t>XIX</w:t>
            </w:r>
            <w:proofErr w:type="spellEnd"/>
            <w:r w:rsidRPr="009553F9">
              <w:t xml:space="preserve"> века: Шеллинг, Гегель, </w:t>
            </w:r>
            <w:proofErr w:type="spellStart"/>
            <w:r w:rsidRPr="009553F9">
              <w:t>Шлейермахер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века –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веке: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Александрийский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). Возможность использования различных философских систем для нужд христианской апологетики.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каждого решения.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вере. 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 и «вера как уверенность в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невидимом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>». О возможности и ограниченности использования рациональных доказательств религиозных истин.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априорные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апостериорные.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</w:t>
            </w:r>
            <w:proofErr w:type="spellStart"/>
            <w:r w:rsidRPr="009553F9">
              <w:t>архиеп</w:t>
            </w:r>
            <w:proofErr w:type="spellEnd"/>
            <w:r w:rsidRPr="009553F9">
              <w:t xml:space="preserve">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      </w:r>
            <w:proofErr w:type="gramStart"/>
            <w:r w:rsidRPr="009553F9">
              <w:t xml:space="preserve">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</w:t>
            </w:r>
            <w:proofErr w:type="spellStart"/>
            <w:r w:rsidRPr="009553F9">
              <w:t>прот</w:t>
            </w:r>
            <w:proofErr w:type="spellEnd"/>
            <w:r w:rsidRPr="009553F9">
              <w:t>.</w:t>
            </w:r>
            <w:proofErr w:type="gramEnd"/>
            <w:r w:rsidRPr="009553F9">
              <w:t xml:space="preserve"> </w:t>
            </w:r>
            <w:proofErr w:type="gramStart"/>
            <w:r w:rsidRPr="009553F9">
              <w:t xml:space="preserve">Феодор Голубинский, </w:t>
            </w:r>
            <w:proofErr w:type="spellStart"/>
            <w:r w:rsidRPr="009553F9">
              <w:t>еп</w:t>
            </w:r>
            <w:proofErr w:type="spellEnd"/>
            <w:r w:rsidRPr="009553F9">
              <w:t xml:space="preserve">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>).</w:t>
            </w:r>
            <w:proofErr w:type="gramEnd"/>
            <w:r w:rsidRPr="009553F9">
              <w:t xml:space="preserve">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 xml:space="preserve">. Теория «большого взрыва» и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применение для возрождения космологического доказательства.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</w:t>
            </w:r>
            <w:r w:rsidRPr="009553F9">
              <w:lastRenderedPageBreak/>
              <w:t xml:space="preserve">биологии, генетики и др. 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</w:t>
            </w:r>
            <w:proofErr w:type="spellStart"/>
            <w:r w:rsidRPr="009553F9">
              <w:t>XVI-XVII</w:t>
            </w:r>
            <w:proofErr w:type="spellEnd"/>
            <w:r w:rsidRPr="009553F9">
              <w:t xml:space="preserve">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</w:t>
            </w:r>
            <w:proofErr w:type="gramStart"/>
            <w:r w:rsidRPr="009553F9">
              <w:rPr>
                <w:color w:val="000000"/>
              </w:rPr>
              <w:t>от</w:t>
            </w:r>
            <w:proofErr w:type="gramEnd"/>
            <w:r w:rsidRPr="009553F9">
              <w:rPr>
                <w:color w:val="000000"/>
              </w:rPr>
              <w:t xml:space="preserve">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9553F9">
              <w:t>Боговоплощение</w:t>
            </w:r>
            <w:proofErr w:type="spellEnd"/>
            <w:r w:rsidRPr="009553F9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</w:t>
            </w:r>
            <w:proofErr w:type="spellStart"/>
            <w:r w:rsidRPr="009553F9">
              <w:t>XVII</w:t>
            </w:r>
            <w:proofErr w:type="spellEnd"/>
            <w:r w:rsidRPr="009553F9">
              <w:t xml:space="preserve"> веке.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</w:t>
            </w:r>
            <w:proofErr w:type="spellStart"/>
            <w:r w:rsidRPr="009553F9">
              <w:t>XVII-XIX</w:t>
            </w:r>
            <w:proofErr w:type="spellEnd"/>
            <w:r w:rsidRPr="009553F9">
              <w:t xml:space="preserve"> вв. Причины возникновения науки в католических странах, а не в православных. Отсутствие конфликта с наукой в православии. Особенность религиозности </w:t>
            </w:r>
            <w:proofErr w:type="spellStart"/>
            <w:r w:rsidRPr="009553F9">
              <w:t>ученых</w:t>
            </w:r>
            <w:proofErr w:type="spellEnd"/>
            <w:r w:rsidRPr="009553F9">
              <w:t xml:space="preserve">: </w:t>
            </w:r>
            <w:proofErr w:type="gramStart"/>
            <w:r w:rsidRPr="009553F9">
              <w:t xml:space="preserve">Кеплер, Декарт, Ньютон, Паскаль, Лейбниц, Фарадей, Коши, Максвелл, Мендель, Планк, Эйнштейн, Гейзенберг и др. </w:t>
            </w:r>
            <w:proofErr w:type="gramEnd"/>
          </w:p>
          <w:p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Причины неверия многих современных </w:t>
            </w:r>
            <w:proofErr w:type="spellStart"/>
            <w:r w:rsidRPr="009553F9">
              <w:t>ученых</w:t>
            </w:r>
            <w:proofErr w:type="spellEnd"/>
            <w:r w:rsidRPr="009553F9">
              <w:t>.</w:t>
            </w:r>
          </w:p>
        </w:tc>
      </w:tr>
    </w:tbl>
    <w:p w:rsidR="00786001" w:rsidRPr="009553F9" w:rsidRDefault="00786001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14" w:name="_Toc467596881"/>
      <w:bookmarkStart w:id="115" w:name="_Toc467599965"/>
      <w:bookmarkStart w:id="116" w:name="_Toc468272476"/>
      <w:bookmarkStart w:id="117" w:name="_Toc468280920"/>
      <w:bookmarkStart w:id="118" w:name="_Toc467596884"/>
      <w:bookmarkStart w:id="119" w:name="_Toc467599968"/>
      <w:bookmarkStart w:id="120" w:name="_Toc468272477"/>
      <w:bookmarkStart w:id="121" w:name="_Toc468274078"/>
      <w:bookmarkStart w:id="122" w:name="_Toc468278275"/>
      <w:bookmarkStart w:id="123" w:name="_Toc55304619"/>
      <w:r w:rsidRPr="009553F9">
        <w:t xml:space="preserve">Учебно-методическое обеспечение самостоятельной работы </w:t>
      </w:r>
      <w:proofErr w:type="gramStart"/>
      <w:r w:rsidRPr="009553F9">
        <w:t>обучающихся</w:t>
      </w:r>
      <w:proofErr w:type="gramEnd"/>
      <w:r w:rsidRPr="009553F9">
        <w:rPr>
          <w:i/>
        </w:rPr>
        <w:t xml:space="preserve"> </w:t>
      </w:r>
      <w:r w:rsidRPr="009553F9">
        <w:t>по дисциплине</w:t>
      </w:r>
      <w:bookmarkEnd w:id="114"/>
      <w:bookmarkEnd w:id="115"/>
      <w:bookmarkEnd w:id="116"/>
      <w:bookmarkEnd w:id="117"/>
      <w:bookmarkEnd w:id="123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 xml:space="preserve">Самостоятельная работа </w:t>
      </w:r>
      <w:proofErr w:type="gramStart"/>
      <w:r w:rsidRPr="009553F9">
        <w:t>обучающихся</w:t>
      </w:r>
      <w:proofErr w:type="gramEnd"/>
      <w:r w:rsidRPr="009553F9">
        <w:t xml:space="preserve">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9553F9">
        <w:t>н-</w:t>
      </w:r>
      <w:proofErr w:type="gramEnd"/>
      <w:r w:rsidRPr="009553F9">
        <w:t>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4" w:name="_Toc468280921"/>
      <w:bookmarkStart w:id="125" w:name="_Toc55304620"/>
      <w:r w:rsidRPr="009553F9">
        <w:t>Фонд оценочных средств</w:t>
      </w:r>
      <w:bookmarkEnd w:id="118"/>
      <w:bookmarkEnd w:id="119"/>
      <w:bookmarkEnd w:id="120"/>
      <w:bookmarkEnd w:id="121"/>
      <w:bookmarkEnd w:id="122"/>
      <w:bookmarkEnd w:id="124"/>
      <w:bookmarkEnd w:id="125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>Настоящий фонд оценочных сре</w:t>
      </w:r>
      <w:proofErr w:type="gramStart"/>
      <w:r w:rsidRPr="009553F9">
        <w:t>дств в с</w:t>
      </w:r>
      <w:proofErr w:type="gramEnd"/>
      <w:r w:rsidRPr="009553F9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477858784"/>
      <w:bookmarkStart w:id="132" w:name="_Toc477980927"/>
      <w:bookmarkStart w:id="133" w:name="_Toc478315750"/>
      <w:bookmarkStart w:id="134" w:name="_Toc55304621"/>
      <w:r w:rsidRPr="009553F9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Default="00A34857" w:rsidP="00661F1A">
      <w:pPr>
        <w:pStyle w:val="3"/>
        <w:spacing w:line="276" w:lineRule="auto"/>
      </w:pPr>
      <w:bookmarkStart w:id="135" w:name="_Toc55304622"/>
      <w:r w:rsidRPr="009553F9">
        <w:lastRenderedPageBreak/>
        <w:t>Вопросы для проведения промежуточной аттестации</w:t>
      </w:r>
      <w:bookmarkEnd w:id="135"/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</w:t>
      </w:r>
      <w:proofErr w:type="gramStart"/>
      <w:r w:rsidRPr="009553F9">
        <w:t xml:space="preserve">ии и </w:t>
      </w:r>
      <w:proofErr w:type="spellStart"/>
      <w:r w:rsidRPr="009553F9">
        <w:t>ее</w:t>
      </w:r>
      <w:proofErr w:type="spellEnd"/>
      <w:proofErr w:type="gramEnd"/>
      <w:r w:rsidRPr="009553F9">
        <w:t xml:space="preserve">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</w:t>
      </w:r>
      <w:proofErr w:type="gramStart"/>
      <w:r w:rsidRPr="009553F9">
        <w:t xml:space="preserve">ии и </w:t>
      </w:r>
      <w:proofErr w:type="spellStart"/>
      <w:r w:rsidRPr="009553F9">
        <w:t>ее</w:t>
      </w:r>
      <w:proofErr w:type="spellEnd"/>
      <w:proofErr w:type="gramEnd"/>
      <w:r w:rsidRPr="009553F9">
        <w:t xml:space="preserve"> критика. Современная наука о возникновении религии. Христианство о причинах возникновения язычества.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:rsidR="00C579D4" w:rsidRPr="009553F9" w:rsidRDefault="00C579D4" w:rsidP="009553F9">
      <w:pPr>
        <w:pStyle w:val="3"/>
        <w:spacing w:line="276" w:lineRule="auto"/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477858786"/>
      <w:bookmarkStart w:id="142" w:name="_Toc477980930"/>
      <w:bookmarkStart w:id="143" w:name="_Toc478315755"/>
      <w:bookmarkStart w:id="144" w:name="_Toc55304623"/>
      <w:r w:rsidRPr="009553F9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5" w:name="_Toc473664512"/>
      <w:bookmarkStart w:id="146" w:name="_Toc473718090"/>
      <w:bookmarkStart w:id="147" w:name="_Toc473892891"/>
      <w:bookmarkStart w:id="148" w:name="_Toc474840600"/>
      <w:bookmarkStart w:id="149" w:name="_Toc475970647"/>
      <w:bookmarkStart w:id="150" w:name="_Toc477858787"/>
      <w:bookmarkStart w:id="151" w:name="_Toc477980931"/>
      <w:bookmarkStart w:id="152" w:name="_Toc478315756"/>
      <w:r w:rsidRPr="009553F9">
        <w:rPr>
          <w:sz w:val="24"/>
          <w:szCs w:val="24"/>
        </w:rPr>
        <w:t>Критерии оценивания устных опросов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C579D4" w:rsidRPr="009553F9" w:rsidRDefault="00C579D4" w:rsidP="009553F9">
      <w:pPr>
        <w:jc w:val="both"/>
        <w:rPr>
          <w:bCs/>
          <w:i/>
        </w:rPr>
      </w:pPr>
      <w:bookmarkStart w:id="153" w:name="_Toc473664513"/>
      <w:bookmarkStart w:id="154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55" w:name="_Toc473892892"/>
      <w:bookmarkStart w:id="156" w:name="_Toc474840601"/>
      <w:bookmarkStart w:id="157" w:name="_Toc475970648"/>
      <w:bookmarkStart w:id="158" w:name="_Toc477858788"/>
      <w:bookmarkStart w:id="159" w:name="_Toc477980932"/>
      <w:bookmarkStart w:id="160" w:name="_Toc478315757"/>
      <w:bookmarkStart w:id="161" w:name="_Toc55304624"/>
      <w:r w:rsidRPr="009553F9">
        <w:t xml:space="preserve">Описание </w:t>
      </w:r>
      <w:proofErr w:type="gramStart"/>
      <w:r w:rsidRPr="009553F9">
        <w:t>шкал оценивания основного этапа освоения компетенции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proofErr w:type="gramEnd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Default="00C579D4" w:rsidP="009553F9">
      <w:pPr>
        <w:pStyle w:val="3"/>
        <w:spacing w:line="276" w:lineRule="auto"/>
      </w:pPr>
      <w:bookmarkStart w:id="162" w:name="_Toc473664514"/>
      <w:bookmarkStart w:id="163" w:name="_Toc473718092"/>
      <w:bookmarkStart w:id="164" w:name="_Toc473892893"/>
      <w:bookmarkStart w:id="165" w:name="_Toc474840602"/>
      <w:bookmarkStart w:id="166" w:name="_Toc475970649"/>
      <w:bookmarkStart w:id="167" w:name="_Toc477858789"/>
      <w:bookmarkStart w:id="168" w:name="_Toc477980933"/>
      <w:bookmarkStart w:id="169" w:name="_Toc478315758"/>
      <w:bookmarkStart w:id="170" w:name="_Toc55304625"/>
      <w:r w:rsidRPr="009553F9">
        <w:t>Средства оценивания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553F9">
        <w:t xml:space="preserve">  </w:t>
      </w:r>
    </w:p>
    <w:p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 xml:space="preserve">недифференцированного контроля (в форме </w:t>
      </w:r>
      <w:proofErr w:type="spellStart"/>
      <w:r w:rsidRPr="005003F8">
        <w:rPr>
          <w:i/>
          <w:iCs/>
        </w:rPr>
        <w:t>зачета</w:t>
      </w:r>
      <w:proofErr w:type="spellEnd"/>
      <w:r w:rsidRPr="005003F8">
        <w:rPr>
          <w:i/>
          <w:iCs/>
        </w:rPr>
        <w:t>)</w:t>
      </w:r>
      <w:r w:rsidRPr="005003F8">
        <w:t xml:space="preserve"> необходимым и достаточным для </w:t>
      </w:r>
      <w:proofErr w:type="spellStart"/>
      <w:r w:rsidRPr="005003F8">
        <w:t>зачета</w:t>
      </w:r>
      <w:proofErr w:type="spellEnd"/>
      <w:r w:rsidRPr="005003F8">
        <w:t xml:space="preserve"> является один положительный критерий в заданиях промежуточной аттестации. В этом случае ответ </w:t>
      </w:r>
      <w:proofErr w:type="gramStart"/>
      <w:r w:rsidRPr="005003F8">
        <w:t>обучающегося</w:t>
      </w:r>
      <w:proofErr w:type="gramEnd"/>
      <w:r w:rsidRPr="005003F8">
        <w:t xml:space="preserve">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 xml:space="preserve">По результатам экзамена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1" w:name="_Toc468272479"/>
      <w:bookmarkStart w:id="172" w:name="_Toc468274080"/>
      <w:bookmarkStart w:id="173" w:name="_Toc468278277"/>
      <w:bookmarkStart w:id="174" w:name="_Toc468280923"/>
      <w:bookmarkStart w:id="175" w:name="_Toc55304626"/>
      <w:r w:rsidRPr="009553F9">
        <w:t>Литература по дисциплине</w:t>
      </w:r>
      <w:bookmarkEnd w:id="171"/>
      <w:bookmarkEnd w:id="172"/>
      <w:bookmarkEnd w:id="173"/>
      <w:bookmarkEnd w:id="174"/>
      <w:bookmarkEnd w:id="175"/>
    </w:p>
    <w:p w:rsidR="00F435B2" w:rsidRPr="009553F9" w:rsidRDefault="00F435B2" w:rsidP="009553F9">
      <w:pPr>
        <w:pStyle w:val="3"/>
        <w:spacing w:line="276" w:lineRule="auto"/>
      </w:pPr>
      <w:bookmarkStart w:id="176" w:name="_Toc55304627"/>
      <w:r w:rsidRPr="009553F9">
        <w:t>Основная</w:t>
      </w:r>
      <w:bookmarkEnd w:id="176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</w:t>
      </w:r>
      <w:proofErr w:type="spellStart"/>
      <w:r w:rsidRPr="009553F9">
        <w:rPr>
          <w:i/>
          <w:sz w:val="24"/>
          <w:szCs w:val="24"/>
        </w:rPr>
        <w:t>В.П</w:t>
      </w:r>
      <w:proofErr w:type="spellEnd"/>
      <w:r w:rsidRPr="009553F9">
        <w:rPr>
          <w:i/>
          <w:sz w:val="24"/>
          <w:szCs w:val="24"/>
        </w:rPr>
        <w:t xml:space="preserve">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СПб</w:t>
      </w:r>
      <w:proofErr w:type="gramStart"/>
      <w:r w:rsidRPr="009553F9">
        <w:t xml:space="preserve">., </w:t>
      </w:r>
      <w:proofErr w:type="gramEnd"/>
      <w:r w:rsidRPr="009553F9">
        <w:t xml:space="preserve">1884. </w:t>
      </w:r>
    </w:p>
    <w:p w:rsidR="00F435B2" w:rsidRPr="009553F9" w:rsidRDefault="00F435B2" w:rsidP="009553F9">
      <w:pPr>
        <w:pStyle w:val="3"/>
        <w:spacing w:line="276" w:lineRule="auto"/>
      </w:pPr>
      <w:bookmarkStart w:id="177" w:name="_Toc55304628"/>
      <w:r w:rsidRPr="009553F9">
        <w:t>Дополнительная</w:t>
      </w:r>
      <w:bookmarkEnd w:id="177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9553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553F9">
        <w:rPr>
          <w:rFonts w:ascii="Times New Roman" w:hAnsi="Times New Roman"/>
          <w:sz w:val="24"/>
          <w:szCs w:val="24"/>
        </w:rPr>
        <w:t>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553F9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9553F9">
        <w:rPr>
          <w:rFonts w:ascii="Times New Roman" w:hAnsi="Times New Roman"/>
          <w:i/>
          <w:sz w:val="24"/>
          <w:szCs w:val="24"/>
        </w:rPr>
        <w:t xml:space="preserve">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9553F9">
        <w:rPr>
          <w:rFonts w:ascii="Times New Roman" w:eastAsia="PetersburgCTT" w:hAnsi="Times New Roman"/>
          <w:i/>
          <w:sz w:val="24"/>
          <w:szCs w:val="24"/>
        </w:rPr>
        <w:t>Ч.</w:t>
      </w:r>
      <w:r w:rsidRPr="009553F9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8" w:name="_Toc468274085"/>
      <w:bookmarkStart w:id="179" w:name="_Toc468278280"/>
      <w:bookmarkStart w:id="180" w:name="_Toc468280926"/>
      <w:bookmarkStart w:id="181" w:name="_Toc55304629"/>
      <w:r w:rsidRPr="009553F9">
        <w:t>Интернет-ресурсы</w:t>
      </w:r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9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</w:t>
      </w:r>
      <w:proofErr w:type="spellStart"/>
      <w:r w:rsidRPr="009553F9">
        <w:rPr>
          <w:b w:val="0"/>
        </w:rPr>
        <w:t>В.П</w:t>
      </w:r>
      <w:proofErr w:type="spellEnd"/>
      <w:r w:rsidRPr="009553F9">
        <w:rPr>
          <w:b w:val="0"/>
        </w:rPr>
        <w:t xml:space="preserve">.   </w:t>
      </w:r>
      <w:hyperlink r:id="rId10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2" w:name="_Toc468272488"/>
      <w:bookmarkStart w:id="183" w:name="_Toc468274086"/>
      <w:bookmarkStart w:id="184" w:name="_Toc468278281"/>
      <w:bookmarkStart w:id="185" w:name="_Toc468280927"/>
      <w:bookmarkStart w:id="186" w:name="_Toc55304630"/>
      <w:r w:rsidRPr="009553F9">
        <w:t>Методические указания для освоения дисциплины</w:t>
      </w:r>
      <w:bookmarkEnd w:id="182"/>
      <w:bookmarkEnd w:id="183"/>
      <w:bookmarkEnd w:id="184"/>
      <w:bookmarkEnd w:id="185"/>
      <w:bookmarkEnd w:id="186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gramStart"/>
      <w:r w:rsidRPr="009553F9">
        <w:rPr>
          <w:b w:val="0"/>
        </w:rPr>
        <w:t>Обучающимся</w:t>
      </w:r>
      <w:proofErr w:type="gramEnd"/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9553F9">
        <w:rPr>
          <w:b w:val="0"/>
        </w:rPr>
        <w:t>возникновения</w:t>
      </w:r>
      <w:proofErr w:type="gramEnd"/>
      <w:r w:rsidRPr="009553F9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7" w:name="_Toc468272491"/>
      <w:bookmarkStart w:id="188" w:name="_Toc468274087"/>
      <w:bookmarkStart w:id="189" w:name="_Toc468278282"/>
      <w:bookmarkStart w:id="190" w:name="_Toc468280928"/>
      <w:bookmarkStart w:id="191" w:name="_Toc55304631"/>
      <w:r w:rsidRPr="009553F9">
        <w:t>Материально-техническая база  для осуществления образовательного процесса</w:t>
      </w:r>
      <w:bookmarkEnd w:id="187"/>
      <w:bookmarkEnd w:id="188"/>
      <w:bookmarkEnd w:id="189"/>
      <w:bookmarkEnd w:id="190"/>
      <w:bookmarkEnd w:id="191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 xml:space="preserve"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</w:t>
      </w:r>
      <w:proofErr w:type="spellStart"/>
      <w:r w:rsidRPr="009553F9">
        <w:rPr>
          <w:i/>
        </w:rPr>
        <w:t>ООП</w:t>
      </w:r>
      <w:proofErr w:type="spellEnd"/>
      <w:r w:rsidRPr="009553F9">
        <w:rPr>
          <w:i/>
        </w:rPr>
        <w:t>.</w:t>
      </w:r>
    </w:p>
    <w:p w:rsidR="00183F6C" w:rsidRPr="009553F9" w:rsidRDefault="00183F6C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</w:t>
      </w:r>
      <w:proofErr w:type="spellStart"/>
      <w:r w:rsidRPr="009553F9">
        <w:rPr>
          <w:i/>
          <w:iCs/>
        </w:rPr>
        <w:t>В.П</w:t>
      </w:r>
      <w:proofErr w:type="spellEnd"/>
      <w:r w:rsidRPr="009553F9">
        <w:rPr>
          <w:i/>
          <w:iCs/>
        </w:rPr>
        <w:t>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86585C">
          <w:rPr>
            <w:noProof/>
          </w:rPr>
          <w:t>2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6585C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C29C-49E6-4805-A848-C7DBA484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11</cp:revision>
  <dcterms:created xsi:type="dcterms:W3CDTF">2017-07-26T14:49:00Z</dcterms:created>
  <dcterms:modified xsi:type="dcterms:W3CDTF">2020-11-03T11:03:00Z</dcterms:modified>
</cp:coreProperties>
</file>